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right"/>
      </w:pPr>
      <w:r>
        <w:t xml:space="preserve">Приложение № 2</w:t>
      </w:r>
      <w:r/>
    </w:p>
    <w:p>
      <w:pPr>
        <w:pStyle w:val="65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5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>
        <w:tblPrEx/>
        <w:trPr/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6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657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(наименование аккредитованной региональной федерации эстетической гимнастики)</w:t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657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7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В СУДЕЙСТВЕ</w:t>
      </w:r>
      <w:r>
        <w:rPr>
          <w:b/>
          <w:sz w:val="28"/>
          <w:szCs w:val="28"/>
        </w:rPr>
      </w:r>
    </w:p>
    <w:p>
      <w:pPr>
        <w:pStyle w:val="657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7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5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>
        <w:tblPrEx/>
        <w:trPr/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657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Открытый </w:t>
            </w:r>
            <w:r>
              <w:rPr>
                <w:b/>
                <w:bCs/>
                <w:sz w:val="24"/>
                <w:szCs w:val="24"/>
              </w:rPr>
              <w:t xml:space="preserve">традиционный </w:t>
            </w:r>
            <w:r>
              <w:rPr>
                <w:b/>
                <w:bCs/>
                <w:sz w:val="24"/>
                <w:szCs w:val="24"/>
              </w:rPr>
              <w:t xml:space="preserve">турнир по эстетической гимнастике «Созвездие»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657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наименование спортивного мероприятия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 xml:space="preserve">28 </w:t>
            </w:r>
            <w:r>
              <w:rPr>
                <w:b/>
                <w:bCs/>
              </w:rPr>
              <w:t xml:space="preserve">февраля</w:t>
            </w:r>
            <w:r>
              <w:rPr>
                <w:b/>
                <w:bCs/>
              </w:rPr>
              <w:t xml:space="preserve"> 2026</w:t>
            </w:r>
            <w:bookmarkStart w:id="0" w:name="_GoBack"/>
            <w:r/>
            <w:bookmarkEnd w:id="0"/>
            <w:r>
              <w:rPr>
                <w:b/>
                <w:bCs/>
              </w:rPr>
              <w:t xml:space="preserve"> г., </w:t>
            </w:r>
            <w:r>
              <w:rPr>
                <w:b/>
                <w:bCs/>
              </w:rPr>
              <w:t xml:space="preserve">ФСТ</w:t>
            </w:r>
            <w:r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Центр гимнастики</w:t>
            </w:r>
            <w:r>
              <w:rPr>
                <w:b/>
                <w:bCs/>
              </w:rPr>
              <w:t xml:space="preserve">», адрес: г. </w:t>
            </w:r>
            <w:r>
              <w:rPr>
                <w:b/>
                <w:bCs/>
              </w:rPr>
              <w:t xml:space="preserve">Казань</w:t>
            </w:r>
            <w:r>
              <w:rPr>
                <w:b/>
                <w:bCs/>
              </w:rPr>
              <w:t xml:space="preserve">, ул. </w:t>
            </w:r>
            <w:r>
              <w:rPr>
                <w:b/>
                <w:bCs/>
              </w:rPr>
              <w:t xml:space="preserve">Сыртлановой</w:t>
            </w:r>
            <w:r>
              <w:rPr>
                <w:b/>
                <w:bCs/>
              </w:rPr>
              <w:t xml:space="preserve">, д. </w:t>
            </w: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657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дата и место проведения спортивного мероприятия</w:t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657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7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58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>
        <w:tblPrEx/>
        <w:trPr>
          <w:cantSplit/>
          <w:trHeight w:val="470"/>
        </w:trPr>
        <w:tc>
          <w:tcP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  <w:p>
            <w:pPr>
              <w:pStyle w:val="657"/>
              <w:rPr>
                <w:b/>
              </w:rPr>
            </w:pP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п</w:t>
            </w:r>
            <w:r>
              <w:rPr>
                <w:b/>
              </w:rPr>
            </w:r>
          </w:p>
        </w:tc>
        <w:tc>
          <w:tcPr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  <w:t xml:space="preserve">Ф.И.О.</w:t>
            </w:r>
            <w:r>
              <w:rPr>
                <w:b/>
              </w:rPr>
              <w:br/>
            </w:r>
            <w:r>
              <w:t xml:space="preserve">(полностью)</w:t>
            </w:r>
            <w:r>
              <w:rPr>
                <w:b/>
              </w:rPr>
            </w:r>
          </w:p>
        </w:tc>
        <w:tc>
          <w:tcPr>
            <w:tcW w:w="1178" w:type="dxa"/>
            <w:vAlign w:val="center"/>
            <w:vMerge w:val="restart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  <w:t xml:space="preserve">Судейская категория</w:t>
            </w:r>
            <w:r>
              <w:rPr>
                <w:b/>
              </w:rPr>
            </w:r>
          </w:p>
        </w:tc>
        <w:tc>
          <w:tcPr>
            <w:gridSpan w:val="6"/>
            <w:tcW w:w="6207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  <w:t xml:space="preserve"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(отметить категории, в которых имеет право судить)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05" w:type="dxa"/>
            <w:vMerge w:val="continue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66" w:type="dxa"/>
            <w:vMerge w:val="continue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78" w:type="dxa"/>
            <w:vMerge w:val="continue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</w:pPr>
            <w:r>
              <w:t xml:space="preserve">девочки</w:t>
            </w:r>
            <w:r>
              <w:br/>
              <w:t xml:space="preserve">6-8</w:t>
            </w:r>
            <w:r>
              <w:br/>
              <w:t xml:space="preserve">лет</w:t>
            </w:r>
            <w:r/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</w:pPr>
            <w:r>
              <w:t xml:space="preserve">девочки</w:t>
            </w:r>
            <w:r>
              <w:br/>
              <w:t xml:space="preserve">8-10</w:t>
            </w:r>
            <w:r>
              <w:br/>
              <w:t xml:space="preserve">лет</w:t>
            </w:r>
            <w:r/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</w:pPr>
            <w:r>
              <w:t xml:space="preserve">девочки</w:t>
            </w:r>
            <w:r>
              <w:br/>
              <w:t xml:space="preserve">10-12</w:t>
            </w:r>
            <w:r>
              <w:br/>
              <w:t xml:space="preserve">лет</w:t>
            </w:r>
            <w:r/>
          </w:p>
        </w:tc>
        <w:tc>
          <w:tcPr>
            <w:tcW w:w="1015" w:type="dxa"/>
            <w:textDirection w:val="lrTb"/>
            <w:noWrap w:val="false"/>
          </w:tcPr>
          <w:p>
            <w:pPr>
              <w:pStyle w:val="657"/>
            </w:pPr>
            <w:r>
              <w:t xml:space="preserve">девушки</w:t>
            </w:r>
            <w:r>
              <w:br/>
              <w:t xml:space="preserve">12-14</w:t>
            </w:r>
            <w:r>
              <w:br/>
              <w:t xml:space="preserve">лет</w:t>
            </w:r>
            <w:r/>
          </w:p>
        </w:tc>
        <w:tc>
          <w:tcPr>
            <w:tcW w:w="1041" w:type="dxa"/>
            <w:textDirection w:val="lrTb"/>
            <w:noWrap w:val="false"/>
          </w:tcPr>
          <w:p>
            <w:pPr>
              <w:pStyle w:val="657"/>
            </w:pPr>
            <w:r>
              <w:t xml:space="preserve">юниорки</w:t>
            </w:r>
            <w:r>
              <w:br/>
              <w:t xml:space="preserve">14-16</w:t>
            </w:r>
            <w:r>
              <w:br/>
              <w:t xml:space="preserve">лет</w:t>
            </w:r>
            <w:r/>
          </w:p>
        </w:tc>
        <w:tc>
          <w:tcPr>
            <w:tcW w:w="1121" w:type="dxa"/>
            <w:textDirection w:val="lrTb"/>
            <w:noWrap w:val="false"/>
          </w:tcPr>
          <w:p>
            <w:pPr>
              <w:pStyle w:val="657"/>
            </w:pPr>
            <w:r>
              <w:t xml:space="preserve">женщины</w:t>
            </w:r>
            <w:r>
              <w:br/>
              <w:t xml:space="preserve">16 лет</w:t>
            </w:r>
            <w:r>
              <w:br/>
              <w:t xml:space="preserve">и старше</w:t>
            </w:r>
            <w:r/>
          </w:p>
        </w:tc>
      </w:tr>
      <w:tr>
        <w:tblPrEx/>
        <w:trPr>
          <w:trHeight w:val="567"/>
        </w:trPr>
        <w:tc>
          <w:tcPr>
            <w:tcW w:w="505" w:type="dxa"/>
            <w:textDirection w:val="lrTb"/>
            <w:noWrap w:val="false"/>
          </w:tcPr>
          <w:p>
            <w:pPr>
              <w:pStyle w:val="657"/>
            </w:pPr>
            <w:r>
              <w:t xml:space="preserve">1</w:t>
            </w:r>
            <w:r/>
          </w:p>
        </w:tc>
        <w:tc>
          <w:tcPr>
            <w:tcW w:w="2566" w:type="dxa"/>
            <w:textDirection w:val="lrTb"/>
            <w:noWrap w:val="false"/>
          </w:tcPr>
          <w:p>
            <w:pPr>
              <w:pStyle w:val="657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57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5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41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67"/>
        </w:trPr>
        <w:tc>
          <w:tcPr>
            <w:tcW w:w="505" w:type="dxa"/>
            <w:textDirection w:val="lrTb"/>
            <w:noWrap w:val="false"/>
          </w:tcPr>
          <w:p>
            <w:pPr>
              <w:pStyle w:val="657"/>
            </w:pPr>
            <w:r>
              <w:t xml:space="preserve">2</w:t>
            </w:r>
            <w:r/>
          </w:p>
        </w:tc>
        <w:tc>
          <w:tcPr>
            <w:tcW w:w="2566" w:type="dxa"/>
            <w:textDirection w:val="lrTb"/>
            <w:noWrap w:val="false"/>
          </w:tcPr>
          <w:p>
            <w:pPr>
              <w:pStyle w:val="657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57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5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41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67"/>
        </w:trPr>
        <w:tc>
          <w:tcPr>
            <w:tcW w:w="505" w:type="dxa"/>
            <w:textDirection w:val="lrTb"/>
            <w:noWrap w:val="false"/>
          </w:tcPr>
          <w:p>
            <w:pPr>
              <w:pStyle w:val="657"/>
            </w:pPr>
            <w:r>
              <w:t xml:space="preserve">3</w:t>
            </w:r>
            <w:r/>
          </w:p>
        </w:tc>
        <w:tc>
          <w:tcPr>
            <w:tcW w:w="2566" w:type="dxa"/>
            <w:textDirection w:val="lrTb"/>
            <w:noWrap w:val="false"/>
          </w:tcPr>
          <w:p>
            <w:pPr>
              <w:pStyle w:val="657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57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5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41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67"/>
        </w:trPr>
        <w:tc>
          <w:tcPr>
            <w:tcW w:w="505" w:type="dxa"/>
            <w:textDirection w:val="lrTb"/>
            <w:noWrap w:val="false"/>
          </w:tcPr>
          <w:p>
            <w:pPr>
              <w:pStyle w:val="657"/>
            </w:pPr>
            <w:r>
              <w:t xml:space="preserve">4</w:t>
            </w:r>
            <w:r/>
          </w:p>
        </w:tc>
        <w:tc>
          <w:tcPr>
            <w:tcW w:w="2566" w:type="dxa"/>
            <w:textDirection w:val="lrTb"/>
            <w:noWrap w:val="false"/>
          </w:tcPr>
          <w:p>
            <w:pPr>
              <w:pStyle w:val="657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57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5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41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67"/>
        </w:trPr>
        <w:tc>
          <w:tcPr>
            <w:tcW w:w="505" w:type="dxa"/>
            <w:textDirection w:val="lrTb"/>
            <w:noWrap w:val="false"/>
          </w:tcPr>
          <w:p>
            <w:pPr>
              <w:pStyle w:val="657"/>
            </w:pPr>
            <w:r>
              <w:t xml:space="preserve">5</w:t>
            </w:r>
            <w:r/>
          </w:p>
        </w:tc>
        <w:tc>
          <w:tcPr>
            <w:tcW w:w="2566" w:type="dxa"/>
            <w:textDirection w:val="lrTb"/>
            <w:noWrap w:val="false"/>
          </w:tcPr>
          <w:p>
            <w:pPr>
              <w:pStyle w:val="657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57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15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41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21" w:type="dxa"/>
            <w:textDirection w:val="lrTb"/>
            <w:noWrap w:val="false"/>
          </w:tcPr>
          <w:p>
            <w:pPr>
              <w:pStyle w:val="657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65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5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>
        <w:tblPrEx/>
        <w:trPr>
          <w:trHeight w:val="520"/>
        </w:trPr>
        <w:tc>
          <w:tcPr>
            <w:tcW w:w="5240" w:type="dxa"/>
            <w:vMerge w:val="restart"/>
            <w:textDirection w:val="lrTb"/>
            <w:noWrap w:val="false"/>
          </w:tcPr>
          <w:p>
            <w:pPr>
              <w:pStyle w:val="6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</w:t>
            </w:r>
            <w:r>
              <w:rPr>
                <w:sz w:val="24"/>
                <w:szCs w:val="24"/>
              </w:rPr>
              <w:br/>
              <w:t xml:space="preserve">аккредитованной региональной федерации</w:t>
            </w:r>
            <w:r>
              <w:rPr>
                <w:sz w:val="24"/>
                <w:szCs w:val="24"/>
              </w:rPr>
            </w:r>
          </w:p>
          <w:p>
            <w:pPr>
              <w:pStyle w:val="6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эстетической гимнастики</w:t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Align w:val="bottom"/>
            <w:textDirection w:val="lrTb"/>
            <w:noWrap w:val="false"/>
          </w:tcPr>
          <w:p>
            <w:pPr>
              <w:pStyle w:val="6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</w:t>
            </w:r>
            <w:r>
              <w:rPr>
                <w:sz w:val="24"/>
                <w:szCs w:val="24"/>
              </w:rPr>
            </w:r>
          </w:p>
        </w:tc>
        <w:tc>
          <w:tcPr>
            <w:tcW w:w="2664" w:type="dxa"/>
            <w:vAlign w:val="bottom"/>
            <w:textDirection w:val="lrTb"/>
            <w:noWrap w:val="false"/>
          </w:tcPr>
          <w:p>
            <w:pPr>
              <w:pStyle w:val="6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  <w:t xml:space="preserve">___________________</w:t>
            </w:r>
            <w:r>
              <w:rPr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240" w:type="dxa"/>
            <w:vMerge w:val="continue"/>
            <w:textDirection w:val="lrTb"/>
            <w:noWrap w:val="false"/>
          </w:tcPr>
          <w:p>
            <w:pPr>
              <w:pStyle w:val="6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7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подпись</w:t>
            </w:r>
            <w:r>
              <w:rPr>
                <w:sz w:val="24"/>
                <w:szCs w:val="24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pStyle w:val="657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расшифровка подписи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pStyle w:val="657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657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6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подачи заявки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216" w:type="dxa"/>
            <w:textDirection w:val="lrTb"/>
            <w:noWrap w:val="false"/>
          </w:tcPr>
          <w:p>
            <w:pPr>
              <w:pStyle w:val="6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57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« ___ » ______________ 202 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  <w:vertAlign w:val="superscript"/>
              </w:rPr>
            </w:r>
          </w:p>
        </w:tc>
      </w:tr>
    </w:tbl>
    <w:p>
      <w:pPr>
        <w:pStyle w:val="65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540" w:right="720" w:bottom="539" w:left="7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4"/>
    <w:link w:val="42"/>
    <w:uiPriority w:val="99"/>
  </w:style>
  <w:style w:type="paragraph" w:styleId="44">
    <w:name w:val="Footer"/>
    <w:basedOn w:val="65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4"/>
    <w:link w:val="44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rFonts w:ascii="Times New Roman" w:hAnsi="Times New Roman" w:eastAsia="Times New Roman" w:cs="Times New Roman"/>
      <w:lang w:eastAsia="ar-SA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>
    <w:name w:val="Body Text"/>
    <w:basedOn w:val="653"/>
    <w:link w:val="659"/>
    <w:pPr>
      <w:jc w:val="center"/>
    </w:pPr>
  </w:style>
  <w:style w:type="table" w:styleId="658">
    <w:name w:val="Table Grid"/>
    <w:basedOn w:val="655"/>
    <w:uiPriority w:val="39"/>
    <w:rPr>
      <w:rFonts w:ascii="Times New Roman" w:hAnsi="Times New Roman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9" w:customStyle="1">
    <w:name w:val="Основной текст Знак"/>
    <w:basedOn w:val="654"/>
    <w:link w:val="65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660" w:customStyle="1">
    <w:name w:val="Обычный (Интернет)1"/>
    <w:basedOn w:val="653"/>
    <w:qFormat/>
    <w:pPr>
      <w:spacing w:before="100" w:after="100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Professional</cp:lastModifiedBy>
  <cp:revision>3</cp:revision>
  <dcterms:created xsi:type="dcterms:W3CDTF">2024-12-27T11:13:00Z</dcterms:created>
  <dcterms:modified xsi:type="dcterms:W3CDTF">2026-01-19T05:32:45Z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EA1D02BB55A54B5AB6304A1C05A407EB</vt:lpwstr>
  </property>
</Properties>
</file>