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9D74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BA180F">
              <w:rPr>
                <w:b/>
                <w:bCs/>
              </w:rPr>
              <w:t>Межмуниципальные спортивные соревнования по эстетической гимнастике «ЦАПЕЛЬКА»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D74C1" w:rsidRDefault="009D74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A180F">
              <w:rPr>
                <w:b/>
                <w:bCs/>
              </w:rPr>
              <w:t>20 апреля 2024</w:t>
            </w:r>
            <w:r>
              <w:rPr>
                <w:b/>
                <w:bCs/>
              </w:rPr>
              <w:t xml:space="preserve"> г.</w:t>
            </w:r>
          </w:p>
          <w:p w:rsidR="009D74C1" w:rsidRDefault="009D74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A180F">
              <w:rPr>
                <w:b/>
                <w:bCs/>
              </w:rPr>
              <w:t>ФОК АО "ОНПП</w:t>
            </w:r>
            <w:r>
              <w:rPr>
                <w:b/>
                <w:bCs/>
              </w:rPr>
              <w:t xml:space="preserve"> Технология" им. А.Г. Ромашина,</w:t>
            </w:r>
          </w:p>
          <w:p w:rsidR="00346570" w:rsidRPr="00B80B46" w:rsidRDefault="009D74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BA180F">
              <w:rPr>
                <w:b/>
                <w:bCs/>
              </w:rPr>
              <w:t>адрес: Калужская область, г. Обнинск, ул. Красных Зорь, 31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D74C1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2022-03-22T07:21:00Z</dcterms:created>
  <dcterms:modified xsi:type="dcterms:W3CDTF">2024-03-12T07:45:00Z</dcterms:modified>
</cp:coreProperties>
</file>