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(наименование региональной федерации эстетической гимнастики)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ЗАЯВКА НА УЧАСТИЕ В СУДЕЙСТВЕ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Всебелорусский 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ткрытый всебелорусский турнир 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СИЛЬФИДА 2023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эстетической групповой гимнастике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25-26 МАРТА 2023 года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(название соревнований, дата и место проведения)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8"/>
        <w:gridCol w:w="2500"/>
        <w:gridCol w:w="1500"/>
        <w:gridCol w:w="1454"/>
        <w:gridCol w:w="1417"/>
        <w:gridCol w:w="1418"/>
        <w:gridCol w:w="1559"/>
        <w:tblGridChange w:id="0">
          <w:tblGrid>
            <w:gridCol w:w="608"/>
            <w:gridCol w:w="2500"/>
            <w:gridCol w:w="1500"/>
            <w:gridCol w:w="1454"/>
            <w:gridCol w:w="1417"/>
            <w:gridCol w:w="1418"/>
            <w:gridCol w:w="155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Судейская 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Судейство возрастных категорий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(отметить категории, в которых имеет право судить)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региональной </w:t>
        <w:tab/>
        <w:t xml:space="preserve">__________________</w:t>
        <w:tab/>
        <w:tab/>
        <w:t xml:space="preserve">/__________________/</w:t>
        <w:tab/>
        <w:tab/>
        <w:t xml:space="preserve">м.п.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 эстетической  гимнастики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подпись</w:t>
        <w:tab/>
        <w:tab/>
        <w:tab/>
        <w:t xml:space="preserve">        расшифровка 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подачи заявки______________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39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